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8" w14:textId="77777777" w:rsidR="00F15265" w:rsidRDefault="00F15265" w:rsidP="00BE4E97">
      <w:pPr>
        <w:rPr>
          <w:noProof/>
          <w:sz w:val="21"/>
          <w:szCs w:val="21"/>
        </w:rPr>
      </w:pPr>
    </w:p>
    <w:p w14:paraId="64D09DE9" w14:textId="77777777" w:rsidR="007D5A50" w:rsidRDefault="007D5A50" w:rsidP="00BE4E97">
      <w:pPr>
        <w:rPr>
          <w:noProof/>
          <w:sz w:val="21"/>
          <w:szCs w:val="21"/>
        </w:rPr>
      </w:pPr>
    </w:p>
    <w:p w14:paraId="64D09DEC" w14:textId="6D1D932D" w:rsidR="007D5A50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  <w:r w:rsidRPr="0051298F">
        <w:rPr>
          <w:rFonts w:asciiTheme="minorHAnsi" w:hAnsiTheme="minorHAnsi" w:cstheme="minorHAnsi"/>
          <w:noProof/>
          <w:szCs w:val="24"/>
        </w:rPr>
        <w:t>September 3, 2020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67E248DF" w14:textId="090E2F9D" w:rsidR="0051298F" w:rsidRPr="009D7DFD" w:rsidRDefault="0051298F" w:rsidP="0051298F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ICRB </w:t>
      </w:r>
      <w:r w:rsidR="00E82CEE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>ANNUAL</w:t>
      </w:r>
      <w:r w:rsidR="00EF6D4C"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 </w:t>
      </w:r>
      <w:r w:rsidR="00430F32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MEETING </w:t>
      </w:r>
      <w:r w:rsidR="00EF6D4C"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>AGENDA</w:t>
      </w:r>
    </w:p>
    <w:p w14:paraId="02EA8954" w14:textId="7AA30E64" w:rsidR="0051298F" w:rsidRPr="009D7DFD" w:rsidRDefault="0051298F" w:rsidP="0051298F">
      <w:pPr>
        <w:jc w:val="center"/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5C6BF8FB" w14:textId="51C376D6" w:rsidR="0051298F" w:rsidRPr="009D7DFD" w:rsidRDefault="0051298F" w:rsidP="0051298F">
      <w:pPr>
        <w:jc w:val="center"/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</w:pPr>
      <w:r w:rsidRPr="009D7DFD"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  <w:t xml:space="preserve">In accordance with ICRB Bylaws Article IX.5, this document </w:t>
      </w:r>
    </w:p>
    <w:p w14:paraId="52B2D9C4" w14:textId="74A559AF" w:rsidR="0051298F" w:rsidRPr="009D7DFD" w:rsidRDefault="0051298F" w:rsidP="0051298F">
      <w:pPr>
        <w:jc w:val="center"/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</w:pPr>
      <w:r w:rsidRPr="009D7DFD"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  <w:t>Provides written notice of the meeting to all Members</w:t>
      </w:r>
    </w:p>
    <w:p w14:paraId="066E89D6" w14:textId="59AA8293" w:rsidR="0051298F" w:rsidRPr="009D7DFD" w:rsidRDefault="0051298F" w:rsidP="0051298F">
      <w:pPr>
        <w:jc w:val="center"/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7D602534" w14:textId="643FB38B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Date: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  <w:t>September 22, 2020</w:t>
      </w:r>
    </w:p>
    <w:p w14:paraId="086DF394" w14:textId="3AF1CEF7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Time: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="0074485E"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9:00am</w:t>
      </w:r>
    </w:p>
    <w:p w14:paraId="2C8A0D7D" w14:textId="5A4D42CA" w:rsidR="0051298F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Location: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  <w:t>Virtual Meeting via Zoom</w:t>
      </w:r>
      <w:r w:rsidR="000E4BB0">
        <w:rPr>
          <w:rFonts w:asciiTheme="minorHAnsi" w:hAnsiTheme="minorHAnsi" w:cstheme="minorHAnsi"/>
          <w:noProof/>
          <w:color w:val="0D0D0D" w:themeColor="text1" w:themeTint="F2"/>
          <w:szCs w:val="24"/>
        </w:rPr>
        <w:t xml:space="preserve"> (link below)</w:t>
      </w:r>
    </w:p>
    <w:p w14:paraId="610823DC" w14:textId="77777777" w:rsidR="000423F0" w:rsidRDefault="000423F0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0496AF4E" w14:textId="76742365" w:rsidR="000E4BB0" w:rsidRPr="009D7DFD" w:rsidRDefault="004D6D20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hyperlink r:id="rId12" w:history="1">
        <w:r>
          <w:rPr>
            <w:rStyle w:val="Hyperlink"/>
          </w:rPr>
          <w:t>https://us02web.zoom.us/j/9675749762?pwd=SStSeVpjRWRHSWh5emNlREtOZmZ5QT09</w:t>
        </w:r>
      </w:hyperlink>
    </w:p>
    <w:p w14:paraId="7CCD1090" w14:textId="62014F75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6752321D" w14:textId="499D2322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Agenda:</w:t>
      </w:r>
    </w:p>
    <w:p w14:paraId="2C59B734" w14:textId="08D6164B" w:rsidR="0051298F" w:rsidRPr="009D7DFD" w:rsidRDefault="0051298F" w:rsidP="0051298F">
      <w:pPr>
        <w:rPr>
          <w:rFonts w:asciiTheme="minorHAnsi" w:hAnsiTheme="minorHAnsi" w:cstheme="minorHAnsi"/>
          <w:color w:val="0D0D0D" w:themeColor="text1" w:themeTint="F2"/>
          <w:szCs w:val="24"/>
        </w:rPr>
      </w:pPr>
    </w:p>
    <w:p w14:paraId="1DB68D4A" w14:textId="3973E098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Welcome</w:t>
      </w:r>
    </w:p>
    <w:p w14:paraId="1821EAE7" w14:textId="34BE2C57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Anti-Trust Statement</w:t>
      </w:r>
    </w:p>
    <w:p w14:paraId="7EB7E523" w14:textId="1652FBB9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Approval of previous </w:t>
      </w:r>
      <w:r w:rsidR="006D77DB">
        <w:rPr>
          <w:rFonts w:asciiTheme="minorHAnsi" w:hAnsiTheme="minorHAnsi" w:cstheme="minorHAnsi"/>
          <w:color w:val="0D0D0D" w:themeColor="text1" w:themeTint="F2"/>
          <w:szCs w:val="24"/>
        </w:rPr>
        <w:t>Annual Meeting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 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m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inutes, </w:t>
      </w:r>
      <w:r w:rsidR="006D77DB">
        <w:rPr>
          <w:rFonts w:asciiTheme="minorHAnsi" w:hAnsiTheme="minorHAnsi" w:cstheme="minorHAnsi"/>
          <w:color w:val="0D0D0D" w:themeColor="text1" w:themeTint="F2"/>
          <w:szCs w:val="24"/>
        </w:rPr>
        <w:t xml:space="preserve">September </w:t>
      </w:r>
      <w:r w:rsidR="000F7A83">
        <w:rPr>
          <w:rFonts w:asciiTheme="minorHAnsi" w:hAnsiTheme="minorHAnsi" w:cstheme="minorHAnsi"/>
          <w:color w:val="0D0D0D" w:themeColor="text1" w:themeTint="F2"/>
          <w:szCs w:val="24"/>
        </w:rPr>
        <w:t>26, 2019</w:t>
      </w:r>
    </w:p>
    <w:p w14:paraId="310E43FC" w14:textId="77777777" w:rsidR="00FF54F5" w:rsidRPr="00430F32" w:rsidRDefault="00FF54F5" w:rsidP="00FF54F5">
      <w:pPr>
        <w:widowControl/>
        <w:numPr>
          <w:ilvl w:val="0"/>
          <w:numId w:val="7"/>
        </w:numPr>
        <w:spacing w:after="3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Business Meeting: Election of 6 Board Members (based on recommendation from Nominating Committee) </w:t>
      </w:r>
    </w:p>
    <w:p w14:paraId="0B52D7C4" w14:textId="77777777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 </w:t>
      </w:r>
    </w:p>
    <w:p w14:paraId="042C3D0B" w14:textId="77777777" w:rsidR="00FF54F5" w:rsidRPr="00430F32" w:rsidRDefault="00FF54F5" w:rsidP="00FF54F5">
      <w:pPr>
        <w:ind w:left="37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The ICRB Governing Board currently consists of twelve elected members.  </w:t>
      </w:r>
    </w:p>
    <w:p w14:paraId="302E835F" w14:textId="18BA4B7C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 </w:t>
      </w:r>
    </w:p>
    <w:p w14:paraId="021FB960" w14:textId="77777777" w:rsidR="006F0DF6" w:rsidRPr="00430F32" w:rsidRDefault="006F0DF6" w:rsidP="006F0DF6">
      <w:pPr>
        <w:spacing w:after="1"/>
        <w:ind w:left="37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Six companies’ terms expire in September 2020. The companies are:  </w:t>
      </w:r>
    </w:p>
    <w:p w14:paraId="16173DDE" w14:textId="62444EA9" w:rsidR="006F0DF6" w:rsidRPr="00430F32" w:rsidRDefault="006F0DF6" w:rsidP="006F0DF6">
      <w:pPr>
        <w:pStyle w:val="ListParagraph"/>
        <w:numPr>
          <w:ilvl w:val="3"/>
          <w:numId w:val="7"/>
        </w:numPr>
        <w:spacing w:after="1"/>
        <w:ind w:left="144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Accident Fund Insurance Co. of America </w:t>
      </w:r>
    </w:p>
    <w:p w14:paraId="14AD24A7" w14:textId="77777777" w:rsidR="006F0DF6" w:rsidRPr="00430F32" w:rsidRDefault="006F0DF6" w:rsidP="006F0DF6">
      <w:pPr>
        <w:widowControl/>
        <w:numPr>
          <w:ilvl w:val="1"/>
          <w:numId w:val="7"/>
        </w:numPr>
        <w:spacing w:after="1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American Home Assurance Co. (AIG) </w:t>
      </w:r>
    </w:p>
    <w:p w14:paraId="5163CB39" w14:textId="72490062" w:rsidR="006F0DF6" w:rsidRPr="00430F32" w:rsidRDefault="006F0DF6" w:rsidP="006F0DF6">
      <w:pPr>
        <w:widowControl/>
        <w:numPr>
          <w:ilvl w:val="1"/>
          <w:numId w:val="7"/>
        </w:numPr>
        <w:spacing w:after="1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Eastern Alliance* </w:t>
      </w:r>
    </w:p>
    <w:p w14:paraId="70663513" w14:textId="77777777" w:rsidR="006F0DF6" w:rsidRPr="00430F32" w:rsidRDefault="006F0DF6" w:rsidP="006F0DF6">
      <w:pPr>
        <w:widowControl/>
        <w:numPr>
          <w:ilvl w:val="1"/>
          <w:numId w:val="7"/>
        </w:numPr>
        <w:spacing w:after="1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Indiana Farmers Mutual Insurance Co.* </w:t>
      </w:r>
    </w:p>
    <w:p w14:paraId="2215A67D" w14:textId="77777777" w:rsidR="006F0DF6" w:rsidRPr="00430F32" w:rsidRDefault="006F0DF6" w:rsidP="006F0DF6">
      <w:pPr>
        <w:widowControl/>
        <w:numPr>
          <w:ilvl w:val="1"/>
          <w:numId w:val="7"/>
        </w:numPr>
        <w:spacing w:after="1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Technology Insurance Co. (AmTrust) </w:t>
      </w:r>
    </w:p>
    <w:p w14:paraId="7C781827" w14:textId="5B7E948C" w:rsidR="006F0DF6" w:rsidRPr="00430F32" w:rsidRDefault="006F0DF6" w:rsidP="006F0DF6">
      <w:pPr>
        <w:widowControl/>
        <w:numPr>
          <w:ilvl w:val="1"/>
          <w:numId w:val="7"/>
        </w:numPr>
        <w:spacing w:after="1" w:line="257" w:lineRule="auto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Westfield Insurance Co. </w:t>
      </w:r>
    </w:p>
    <w:p w14:paraId="3DEE82E1" w14:textId="77777777" w:rsidR="006F0DF6" w:rsidRPr="00430F32" w:rsidRDefault="006F0DF6" w:rsidP="00FF54F5">
      <w:pPr>
        <w:spacing w:line="259" w:lineRule="auto"/>
        <w:ind w:left="360"/>
        <w:rPr>
          <w:rFonts w:asciiTheme="minorHAnsi" w:hAnsiTheme="minorHAnsi" w:cstheme="minorHAnsi"/>
        </w:rPr>
      </w:pPr>
    </w:p>
    <w:p w14:paraId="0372AC15" w14:textId="05B73C8C" w:rsidR="00FF54F5" w:rsidRPr="00430F32" w:rsidRDefault="00FF54F5" w:rsidP="00FF54F5">
      <w:pPr>
        <w:ind w:left="370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>Six companies’ terms expire in September 20</w:t>
      </w:r>
      <w:r w:rsidR="00236386" w:rsidRPr="00430F32">
        <w:rPr>
          <w:rFonts w:asciiTheme="minorHAnsi" w:hAnsiTheme="minorHAnsi" w:cstheme="minorHAnsi"/>
          <w:color w:val="808080" w:themeColor="background1" w:themeShade="80"/>
        </w:rPr>
        <w:t>21</w:t>
      </w:r>
      <w:r w:rsidR="0093721C" w:rsidRPr="00430F32">
        <w:rPr>
          <w:rFonts w:asciiTheme="minorHAnsi" w:hAnsiTheme="minorHAnsi" w:cstheme="minorHAnsi"/>
          <w:color w:val="808080" w:themeColor="background1" w:themeShade="80"/>
        </w:rPr>
        <w:t xml:space="preserve"> and no vote is needed: </w:t>
      </w:r>
    </w:p>
    <w:p w14:paraId="61404990" w14:textId="77777777" w:rsidR="00FF54F5" w:rsidRPr="00430F32" w:rsidRDefault="00FF54F5" w:rsidP="00FF54F5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Amerisure Mutual Insurance Co. </w:t>
      </w:r>
    </w:p>
    <w:p w14:paraId="7A531265" w14:textId="77777777" w:rsidR="00FF54F5" w:rsidRPr="00430F32" w:rsidRDefault="00FF54F5" w:rsidP="00FF54F5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Berkshire Hathaway Homestead Companies </w:t>
      </w:r>
    </w:p>
    <w:p w14:paraId="5FF59AE9" w14:textId="77777777" w:rsidR="00FF54F5" w:rsidRPr="00430F32" w:rsidRDefault="00FF54F5" w:rsidP="00FF54F5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ICW Group </w:t>
      </w:r>
    </w:p>
    <w:p w14:paraId="205431DC" w14:textId="77777777" w:rsidR="00052B5F" w:rsidRPr="00430F32" w:rsidRDefault="00FF54F5" w:rsidP="00FF54F5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Indiana Insurance Co. (Liberty </w:t>
      </w:r>
      <w:proofErr w:type="gramStart"/>
      <w:r w:rsidRPr="00430F32">
        <w:rPr>
          <w:rFonts w:asciiTheme="minorHAnsi" w:hAnsiTheme="minorHAnsi" w:cstheme="minorHAnsi"/>
          <w:color w:val="808080" w:themeColor="background1" w:themeShade="80"/>
        </w:rPr>
        <w:t>Mutual)*</w:t>
      </w:r>
      <w:proofErr w:type="gramEnd"/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2DE5F89D" w14:textId="77777777" w:rsidR="00052B5F" w:rsidRPr="00430F32" w:rsidRDefault="00FF54F5" w:rsidP="00052B5F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National Trust Insurance Co. (FCCI)* </w:t>
      </w:r>
    </w:p>
    <w:p w14:paraId="6C44BDF9" w14:textId="42F436C5" w:rsidR="00FF54F5" w:rsidRPr="00430F32" w:rsidRDefault="00FF54F5" w:rsidP="00052B5F">
      <w:pPr>
        <w:widowControl/>
        <w:numPr>
          <w:ilvl w:val="1"/>
          <w:numId w:val="7"/>
        </w:numPr>
        <w:spacing w:after="3" w:line="257" w:lineRule="auto"/>
        <w:rPr>
          <w:rFonts w:asciiTheme="minorHAnsi" w:hAnsiTheme="minorHAnsi" w:cstheme="minorHAnsi"/>
          <w:color w:val="808080" w:themeColor="background1" w:themeShade="80"/>
        </w:rPr>
      </w:pPr>
      <w:r w:rsidRPr="00430F32">
        <w:rPr>
          <w:rFonts w:asciiTheme="minorHAnsi" w:hAnsiTheme="minorHAnsi" w:cstheme="minorHAnsi"/>
          <w:color w:val="808080" w:themeColor="background1" w:themeShade="80"/>
        </w:rPr>
        <w:t xml:space="preserve">Travelers Indemnity Co. </w:t>
      </w:r>
    </w:p>
    <w:p w14:paraId="2438F7CA" w14:textId="77777777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 </w:t>
      </w:r>
    </w:p>
    <w:p w14:paraId="6CCF7BB3" w14:textId="03EF91D5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</w:p>
    <w:p w14:paraId="6EC96C7F" w14:textId="77777777" w:rsidR="00FF54F5" w:rsidRPr="00430F32" w:rsidRDefault="00FF54F5" w:rsidP="00FF54F5">
      <w:pPr>
        <w:ind w:left="37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*Indiana domiciled company </w:t>
      </w:r>
    </w:p>
    <w:p w14:paraId="405448AF" w14:textId="77777777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 </w:t>
      </w:r>
    </w:p>
    <w:p w14:paraId="7C7547D9" w14:textId="77777777" w:rsidR="00FF54F5" w:rsidRPr="00430F32" w:rsidRDefault="00FF54F5" w:rsidP="00FF54F5">
      <w:pPr>
        <w:ind w:left="37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Current approved ICRB Bylaws Article V provides that the Governing Board consist of 8-12 members, from both stock and non-stock, and at least 2 domiciled and 2 non-domiciled members. </w:t>
      </w:r>
    </w:p>
    <w:p w14:paraId="3A524DB6" w14:textId="77777777" w:rsidR="00FF54F5" w:rsidRPr="00430F32" w:rsidRDefault="00FF54F5" w:rsidP="00FF54F5">
      <w:pPr>
        <w:spacing w:line="259" w:lineRule="auto"/>
        <w:ind w:left="36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 </w:t>
      </w:r>
    </w:p>
    <w:p w14:paraId="430B04F8" w14:textId="13B88ED9" w:rsidR="00F868F0" w:rsidRPr="00430F32" w:rsidRDefault="00DE4446" w:rsidP="00E7019D">
      <w:pPr>
        <w:ind w:left="370"/>
        <w:rPr>
          <w:rFonts w:asciiTheme="minorHAnsi" w:hAnsiTheme="minorHAnsi" w:cstheme="minorHAnsi"/>
          <w:b/>
          <w:bCs/>
          <w:u w:val="single"/>
        </w:rPr>
      </w:pPr>
      <w:r w:rsidRPr="00430F32">
        <w:rPr>
          <w:rFonts w:asciiTheme="minorHAnsi" w:hAnsiTheme="minorHAnsi" w:cstheme="minorHAnsi"/>
          <w:b/>
          <w:bCs/>
          <w:u w:val="single"/>
        </w:rPr>
        <w:t xml:space="preserve">NOTE: </w:t>
      </w:r>
      <w:r w:rsidR="002F003A" w:rsidRPr="00430F32">
        <w:rPr>
          <w:rFonts w:asciiTheme="minorHAnsi" w:hAnsiTheme="minorHAnsi" w:cstheme="minorHAnsi"/>
          <w:b/>
          <w:bCs/>
          <w:u w:val="single"/>
        </w:rPr>
        <w:t xml:space="preserve">As this meeting will be held virtually, </w:t>
      </w:r>
      <w:r w:rsidR="0003769A" w:rsidRPr="00430F32">
        <w:rPr>
          <w:rFonts w:asciiTheme="minorHAnsi" w:hAnsiTheme="minorHAnsi" w:cstheme="minorHAnsi"/>
          <w:b/>
          <w:bCs/>
          <w:u w:val="single"/>
        </w:rPr>
        <w:t xml:space="preserve">following the </w:t>
      </w:r>
      <w:r w:rsidR="000C7BBB">
        <w:rPr>
          <w:rFonts w:asciiTheme="minorHAnsi" w:hAnsiTheme="minorHAnsi" w:cstheme="minorHAnsi"/>
          <w:b/>
          <w:bCs/>
          <w:u w:val="single"/>
        </w:rPr>
        <w:t>N</w:t>
      </w:r>
      <w:r w:rsidR="0003769A" w:rsidRPr="00430F32">
        <w:rPr>
          <w:rFonts w:asciiTheme="minorHAnsi" w:hAnsiTheme="minorHAnsi" w:cstheme="minorHAnsi"/>
          <w:b/>
          <w:bCs/>
          <w:u w:val="single"/>
        </w:rPr>
        <w:t xml:space="preserve">ominating </w:t>
      </w:r>
      <w:r w:rsidR="000C7BBB">
        <w:rPr>
          <w:rFonts w:asciiTheme="minorHAnsi" w:hAnsiTheme="minorHAnsi" w:cstheme="minorHAnsi"/>
          <w:b/>
          <w:bCs/>
          <w:u w:val="single"/>
        </w:rPr>
        <w:t>C</w:t>
      </w:r>
      <w:r w:rsidR="0003769A" w:rsidRPr="00430F32">
        <w:rPr>
          <w:rFonts w:asciiTheme="minorHAnsi" w:hAnsiTheme="minorHAnsi" w:cstheme="minorHAnsi"/>
          <w:b/>
          <w:bCs/>
          <w:u w:val="single"/>
        </w:rPr>
        <w:t xml:space="preserve">ommittee </w:t>
      </w:r>
      <w:r w:rsidR="00E7019D" w:rsidRPr="00430F32">
        <w:rPr>
          <w:rFonts w:asciiTheme="minorHAnsi" w:hAnsiTheme="minorHAnsi" w:cstheme="minorHAnsi"/>
          <w:b/>
          <w:bCs/>
          <w:u w:val="single"/>
        </w:rPr>
        <w:t xml:space="preserve">review, </w:t>
      </w:r>
      <w:r w:rsidR="002F003A" w:rsidRPr="00430F32">
        <w:rPr>
          <w:rFonts w:asciiTheme="minorHAnsi" w:hAnsiTheme="minorHAnsi" w:cstheme="minorHAnsi"/>
          <w:b/>
          <w:bCs/>
          <w:u w:val="single"/>
        </w:rPr>
        <w:t xml:space="preserve">the ICRB will </w:t>
      </w:r>
      <w:r w:rsidR="00E7019D" w:rsidRPr="00430F32">
        <w:rPr>
          <w:rFonts w:asciiTheme="minorHAnsi" w:hAnsiTheme="minorHAnsi" w:cstheme="minorHAnsi"/>
          <w:b/>
          <w:bCs/>
          <w:u w:val="single"/>
        </w:rPr>
        <w:t xml:space="preserve">send </w:t>
      </w:r>
      <w:r w:rsidR="002F003A" w:rsidRPr="00430F32">
        <w:rPr>
          <w:rFonts w:asciiTheme="minorHAnsi" w:hAnsiTheme="minorHAnsi" w:cstheme="minorHAnsi"/>
          <w:b/>
          <w:bCs/>
          <w:u w:val="single"/>
        </w:rPr>
        <w:t xml:space="preserve">out an electronic </w:t>
      </w:r>
      <w:r w:rsidR="00585E94" w:rsidRPr="00430F32">
        <w:rPr>
          <w:rFonts w:asciiTheme="minorHAnsi" w:hAnsiTheme="minorHAnsi" w:cstheme="minorHAnsi"/>
          <w:b/>
          <w:bCs/>
          <w:u w:val="single"/>
        </w:rPr>
        <w:t xml:space="preserve">ballot </w:t>
      </w:r>
      <w:r w:rsidR="00E7019D" w:rsidRPr="00430F32">
        <w:rPr>
          <w:rFonts w:asciiTheme="minorHAnsi" w:hAnsiTheme="minorHAnsi" w:cstheme="minorHAnsi"/>
          <w:b/>
          <w:bCs/>
          <w:u w:val="single"/>
        </w:rPr>
        <w:t xml:space="preserve">for voting to </w:t>
      </w:r>
      <w:r w:rsidR="00F868F0" w:rsidRPr="00430F32">
        <w:rPr>
          <w:rFonts w:asciiTheme="minorHAnsi" w:hAnsiTheme="minorHAnsi" w:cstheme="minorHAnsi"/>
          <w:b/>
          <w:bCs/>
          <w:u w:val="single"/>
        </w:rPr>
        <w:t xml:space="preserve">one representative </w:t>
      </w:r>
      <w:r w:rsidR="000C7BBB">
        <w:rPr>
          <w:rFonts w:asciiTheme="minorHAnsi" w:hAnsiTheme="minorHAnsi" w:cstheme="minorHAnsi"/>
          <w:b/>
          <w:bCs/>
          <w:u w:val="single"/>
        </w:rPr>
        <w:t>of</w:t>
      </w:r>
      <w:r w:rsidR="00F868F0" w:rsidRPr="00430F32">
        <w:rPr>
          <w:rFonts w:asciiTheme="minorHAnsi" w:hAnsiTheme="minorHAnsi" w:cstheme="minorHAnsi"/>
          <w:b/>
          <w:bCs/>
          <w:u w:val="single"/>
        </w:rPr>
        <w:t xml:space="preserve"> each Board Member company. Once the votes are tallied, the ICRB President will </w:t>
      </w:r>
      <w:r w:rsidR="002F1218">
        <w:rPr>
          <w:rFonts w:asciiTheme="minorHAnsi" w:hAnsiTheme="minorHAnsi" w:cstheme="minorHAnsi"/>
          <w:b/>
          <w:bCs/>
          <w:u w:val="single"/>
        </w:rPr>
        <w:t>announce the results</w:t>
      </w:r>
      <w:r w:rsidR="00F868F0" w:rsidRPr="00430F32">
        <w:rPr>
          <w:rFonts w:asciiTheme="minorHAnsi" w:hAnsiTheme="minorHAnsi" w:cstheme="minorHAnsi"/>
          <w:b/>
          <w:bCs/>
          <w:u w:val="single"/>
        </w:rPr>
        <w:t xml:space="preserve"> during the Annual Meeting. </w:t>
      </w:r>
    </w:p>
    <w:p w14:paraId="28B8B0E6" w14:textId="77777777" w:rsidR="00F868F0" w:rsidRPr="00430F32" w:rsidRDefault="00F868F0" w:rsidP="00E7019D">
      <w:pPr>
        <w:ind w:left="370"/>
        <w:rPr>
          <w:rFonts w:asciiTheme="minorHAnsi" w:hAnsiTheme="minorHAnsi" w:cstheme="minorHAnsi"/>
          <w:b/>
          <w:bCs/>
          <w:u w:val="single"/>
        </w:rPr>
      </w:pPr>
    </w:p>
    <w:p w14:paraId="3A1E0D32" w14:textId="77777777" w:rsidR="002F003A" w:rsidRPr="00430F32" w:rsidRDefault="002F003A" w:rsidP="00FF54F5">
      <w:pPr>
        <w:ind w:left="370"/>
        <w:rPr>
          <w:rFonts w:asciiTheme="minorHAnsi" w:hAnsiTheme="minorHAnsi" w:cstheme="minorHAnsi"/>
        </w:rPr>
      </w:pPr>
    </w:p>
    <w:p w14:paraId="088F983D" w14:textId="3E22186E" w:rsidR="000F7A83" w:rsidRPr="00430F32" w:rsidRDefault="00DE4446" w:rsidP="00DE4446">
      <w:pPr>
        <w:ind w:left="370"/>
        <w:rPr>
          <w:rFonts w:asciiTheme="minorHAnsi" w:hAnsiTheme="minorHAnsi" w:cstheme="minorHAnsi"/>
        </w:rPr>
      </w:pPr>
      <w:r w:rsidRPr="00430F32">
        <w:rPr>
          <w:rFonts w:asciiTheme="minorHAnsi" w:hAnsiTheme="minorHAnsi" w:cstheme="minorHAnsi"/>
        </w:rPr>
        <w:t xml:space="preserve">The </w:t>
      </w:r>
      <w:r w:rsidR="00FF54F5" w:rsidRPr="00430F32">
        <w:rPr>
          <w:rFonts w:asciiTheme="minorHAnsi" w:hAnsiTheme="minorHAnsi" w:cstheme="minorHAnsi"/>
        </w:rPr>
        <w:t xml:space="preserve">ICRB Governing Board Meeting </w:t>
      </w:r>
      <w:r w:rsidRPr="00430F32">
        <w:rPr>
          <w:rFonts w:asciiTheme="minorHAnsi" w:hAnsiTheme="minorHAnsi" w:cstheme="minorHAnsi"/>
        </w:rPr>
        <w:t xml:space="preserve">will </w:t>
      </w:r>
      <w:r w:rsidR="00FF54F5" w:rsidRPr="00430F32">
        <w:rPr>
          <w:rFonts w:asciiTheme="minorHAnsi" w:hAnsiTheme="minorHAnsi" w:cstheme="minorHAnsi"/>
        </w:rPr>
        <w:t>immediately follow</w:t>
      </w:r>
      <w:r w:rsidRPr="00430F32">
        <w:rPr>
          <w:rFonts w:asciiTheme="minorHAnsi" w:hAnsiTheme="minorHAnsi" w:cstheme="minorHAnsi"/>
        </w:rPr>
        <w:t xml:space="preserve"> the</w:t>
      </w:r>
      <w:r w:rsidR="00FF54F5" w:rsidRPr="00430F32">
        <w:rPr>
          <w:rFonts w:asciiTheme="minorHAnsi" w:hAnsiTheme="minorHAnsi" w:cstheme="minorHAnsi"/>
        </w:rPr>
        <w:t xml:space="preserve"> Annual Meeting.  All ICRB member companies and invited guests are welcome to attend both the annual meeting and governing board meeting.  </w:t>
      </w:r>
    </w:p>
    <w:p w14:paraId="4276C301" w14:textId="77777777" w:rsidR="0051298F" w:rsidRPr="00430F32" w:rsidRDefault="0051298F" w:rsidP="0051298F">
      <w:pPr>
        <w:ind w:left="370"/>
        <w:rPr>
          <w:rFonts w:asciiTheme="minorHAnsi" w:hAnsiTheme="minorHAnsi" w:cstheme="minorHAnsi"/>
        </w:rPr>
      </w:pPr>
    </w:p>
    <w:p w14:paraId="61716E62" w14:textId="6F0A06F2" w:rsidR="0051298F" w:rsidRPr="0051298F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6A67" w14:textId="77777777" w:rsidR="00D7063B" w:rsidRDefault="00D7063B">
      <w:r>
        <w:separator/>
      </w:r>
    </w:p>
  </w:endnote>
  <w:endnote w:type="continuationSeparator" w:id="0">
    <w:p w14:paraId="55496927" w14:textId="77777777" w:rsidR="00D7063B" w:rsidRDefault="00D7063B">
      <w:r>
        <w:continuationSeparator/>
      </w:r>
    </w:p>
  </w:endnote>
  <w:endnote w:type="continuationNotice" w:id="1">
    <w:p w14:paraId="3AE19191" w14:textId="77777777" w:rsidR="00D7063B" w:rsidRDefault="00D70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C13D" w14:textId="77777777" w:rsidR="00D7063B" w:rsidRDefault="00D7063B">
      <w:r>
        <w:separator/>
      </w:r>
    </w:p>
  </w:footnote>
  <w:footnote w:type="continuationSeparator" w:id="0">
    <w:p w14:paraId="617152E8" w14:textId="77777777" w:rsidR="00D7063B" w:rsidRDefault="00D7063B">
      <w:r>
        <w:continuationSeparator/>
      </w:r>
    </w:p>
  </w:footnote>
  <w:footnote w:type="continuationNotice" w:id="1">
    <w:p w14:paraId="671E75E1" w14:textId="77777777" w:rsidR="00D7063B" w:rsidRDefault="00D70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16B7"/>
    <w:multiLevelType w:val="hybridMultilevel"/>
    <w:tmpl w:val="BAC0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7497C"/>
    <w:multiLevelType w:val="hybridMultilevel"/>
    <w:tmpl w:val="D0C0F68E"/>
    <w:lvl w:ilvl="0" w:tplc="411AE3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A96CC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22E6E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ACB2E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A1912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4B366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AA5C2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060EA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7FD8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3769A"/>
    <w:rsid w:val="000423F0"/>
    <w:rsid w:val="00052B5F"/>
    <w:rsid w:val="00090E0F"/>
    <w:rsid w:val="00094B89"/>
    <w:rsid w:val="000A51AB"/>
    <w:rsid w:val="000C6A8F"/>
    <w:rsid w:val="000C7BBB"/>
    <w:rsid w:val="000E28F7"/>
    <w:rsid w:val="000E4BB0"/>
    <w:rsid w:val="000E5E8D"/>
    <w:rsid w:val="000F52F6"/>
    <w:rsid w:val="000F7A83"/>
    <w:rsid w:val="001003E2"/>
    <w:rsid w:val="001015AD"/>
    <w:rsid w:val="00101D40"/>
    <w:rsid w:val="00110C05"/>
    <w:rsid w:val="00131790"/>
    <w:rsid w:val="00144DCA"/>
    <w:rsid w:val="001708E6"/>
    <w:rsid w:val="00171EB1"/>
    <w:rsid w:val="001A193E"/>
    <w:rsid w:val="001A7915"/>
    <w:rsid w:val="001C7118"/>
    <w:rsid w:val="001C7B25"/>
    <w:rsid w:val="001F53EF"/>
    <w:rsid w:val="00204B99"/>
    <w:rsid w:val="002073FB"/>
    <w:rsid w:val="00215AF2"/>
    <w:rsid w:val="002177DB"/>
    <w:rsid w:val="00217B91"/>
    <w:rsid w:val="0022250E"/>
    <w:rsid w:val="002259AD"/>
    <w:rsid w:val="00236386"/>
    <w:rsid w:val="002667A2"/>
    <w:rsid w:val="002745B4"/>
    <w:rsid w:val="002859A3"/>
    <w:rsid w:val="002875CF"/>
    <w:rsid w:val="00296EF8"/>
    <w:rsid w:val="002A41C1"/>
    <w:rsid w:val="002C13CE"/>
    <w:rsid w:val="002D4881"/>
    <w:rsid w:val="002D53F6"/>
    <w:rsid w:val="002D7314"/>
    <w:rsid w:val="002F003A"/>
    <w:rsid w:val="002F1218"/>
    <w:rsid w:val="00301283"/>
    <w:rsid w:val="00320E5C"/>
    <w:rsid w:val="00326030"/>
    <w:rsid w:val="00360685"/>
    <w:rsid w:val="00365637"/>
    <w:rsid w:val="003763C0"/>
    <w:rsid w:val="003A0EE9"/>
    <w:rsid w:val="003A5489"/>
    <w:rsid w:val="003D1857"/>
    <w:rsid w:val="003D3D65"/>
    <w:rsid w:val="00417D44"/>
    <w:rsid w:val="004222A2"/>
    <w:rsid w:val="00430F32"/>
    <w:rsid w:val="00460B2C"/>
    <w:rsid w:val="00491BD1"/>
    <w:rsid w:val="00492584"/>
    <w:rsid w:val="004B163F"/>
    <w:rsid w:val="004C00EB"/>
    <w:rsid w:val="004D230C"/>
    <w:rsid w:val="004D6D20"/>
    <w:rsid w:val="004E31E5"/>
    <w:rsid w:val="004E589E"/>
    <w:rsid w:val="004E5D88"/>
    <w:rsid w:val="004F5363"/>
    <w:rsid w:val="0051298F"/>
    <w:rsid w:val="005214CA"/>
    <w:rsid w:val="005325DC"/>
    <w:rsid w:val="00564B37"/>
    <w:rsid w:val="00566AA2"/>
    <w:rsid w:val="005777F4"/>
    <w:rsid w:val="00582C78"/>
    <w:rsid w:val="00585E94"/>
    <w:rsid w:val="005A768E"/>
    <w:rsid w:val="005C093C"/>
    <w:rsid w:val="005D5056"/>
    <w:rsid w:val="005F2BE8"/>
    <w:rsid w:val="005F6605"/>
    <w:rsid w:val="00601587"/>
    <w:rsid w:val="00605F8C"/>
    <w:rsid w:val="006268B9"/>
    <w:rsid w:val="006329E1"/>
    <w:rsid w:val="00654531"/>
    <w:rsid w:val="006626AA"/>
    <w:rsid w:val="00673263"/>
    <w:rsid w:val="00694B77"/>
    <w:rsid w:val="00697AD2"/>
    <w:rsid w:val="006D77DB"/>
    <w:rsid w:val="006E0F40"/>
    <w:rsid w:val="006E6DFB"/>
    <w:rsid w:val="006F0DF6"/>
    <w:rsid w:val="0074485E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50308"/>
    <w:rsid w:val="0086488F"/>
    <w:rsid w:val="00893D1A"/>
    <w:rsid w:val="008A660E"/>
    <w:rsid w:val="008B2325"/>
    <w:rsid w:val="008D4004"/>
    <w:rsid w:val="008E5C0A"/>
    <w:rsid w:val="008F6A48"/>
    <w:rsid w:val="009064E2"/>
    <w:rsid w:val="00917C47"/>
    <w:rsid w:val="009221F0"/>
    <w:rsid w:val="00936C92"/>
    <w:rsid w:val="0093721C"/>
    <w:rsid w:val="00967237"/>
    <w:rsid w:val="009C602D"/>
    <w:rsid w:val="009D0DF0"/>
    <w:rsid w:val="009D1505"/>
    <w:rsid w:val="009D1A4A"/>
    <w:rsid w:val="009D2CD3"/>
    <w:rsid w:val="009D7DFD"/>
    <w:rsid w:val="009D7E13"/>
    <w:rsid w:val="00A270DC"/>
    <w:rsid w:val="00A52471"/>
    <w:rsid w:val="00A619EF"/>
    <w:rsid w:val="00A65D80"/>
    <w:rsid w:val="00A84D56"/>
    <w:rsid w:val="00A9144D"/>
    <w:rsid w:val="00A928E9"/>
    <w:rsid w:val="00AE44B5"/>
    <w:rsid w:val="00B01B5F"/>
    <w:rsid w:val="00B2103A"/>
    <w:rsid w:val="00B248A1"/>
    <w:rsid w:val="00B25B46"/>
    <w:rsid w:val="00B45DC9"/>
    <w:rsid w:val="00B46E85"/>
    <w:rsid w:val="00B85C79"/>
    <w:rsid w:val="00BA3577"/>
    <w:rsid w:val="00BC26E0"/>
    <w:rsid w:val="00BD4AAF"/>
    <w:rsid w:val="00BD5194"/>
    <w:rsid w:val="00BD5BA9"/>
    <w:rsid w:val="00BD5EFF"/>
    <w:rsid w:val="00BE4E97"/>
    <w:rsid w:val="00BF551B"/>
    <w:rsid w:val="00C04CAC"/>
    <w:rsid w:val="00C12D42"/>
    <w:rsid w:val="00C43A81"/>
    <w:rsid w:val="00C443DC"/>
    <w:rsid w:val="00C66573"/>
    <w:rsid w:val="00C669AA"/>
    <w:rsid w:val="00C920C7"/>
    <w:rsid w:val="00C94F45"/>
    <w:rsid w:val="00CC7AB9"/>
    <w:rsid w:val="00CE3878"/>
    <w:rsid w:val="00D00A0B"/>
    <w:rsid w:val="00D02283"/>
    <w:rsid w:val="00D03586"/>
    <w:rsid w:val="00D12F8A"/>
    <w:rsid w:val="00D22B9F"/>
    <w:rsid w:val="00D32AD1"/>
    <w:rsid w:val="00D47FD7"/>
    <w:rsid w:val="00D55B96"/>
    <w:rsid w:val="00D7063B"/>
    <w:rsid w:val="00D8523C"/>
    <w:rsid w:val="00D86CCE"/>
    <w:rsid w:val="00D90870"/>
    <w:rsid w:val="00D931DA"/>
    <w:rsid w:val="00DA3EEC"/>
    <w:rsid w:val="00DA59C9"/>
    <w:rsid w:val="00DA7645"/>
    <w:rsid w:val="00DE4446"/>
    <w:rsid w:val="00DF34D7"/>
    <w:rsid w:val="00E1481F"/>
    <w:rsid w:val="00E37527"/>
    <w:rsid w:val="00E7019D"/>
    <w:rsid w:val="00E82CEE"/>
    <w:rsid w:val="00E9495B"/>
    <w:rsid w:val="00EA3E5B"/>
    <w:rsid w:val="00EA5572"/>
    <w:rsid w:val="00EB0CCC"/>
    <w:rsid w:val="00EC0C94"/>
    <w:rsid w:val="00EC0F77"/>
    <w:rsid w:val="00EF2DB6"/>
    <w:rsid w:val="00EF6D4C"/>
    <w:rsid w:val="00EF71A7"/>
    <w:rsid w:val="00F15265"/>
    <w:rsid w:val="00F42CE2"/>
    <w:rsid w:val="00F55226"/>
    <w:rsid w:val="00F71424"/>
    <w:rsid w:val="00F868F0"/>
    <w:rsid w:val="00FB4FF0"/>
    <w:rsid w:val="00FC5989"/>
    <w:rsid w:val="00FC6499"/>
    <w:rsid w:val="00FE1AEC"/>
    <w:rsid w:val="00FF54F5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09DDF"/>
  <w15:docId w15:val="{311823FA-F727-4402-A3DC-24EC6D8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9675749762?pwd=SStSeVpjRWRHSWh5emNlREtOZmZ5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2" ma:contentTypeDescription="Create a new document." ma:contentTypeScope="" ma:versionID="a52e575fe912dcf6671680e10eadfaca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bfd5ddbdac3db1a5ebba995d798d0b02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5476-B9CC-4D9E-9059-0BAEEBE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Ron Cooper</dc:creator>
  <cp:keywords/>
  <cp:lastModifiedBy>Paul Keathley</cp:lastModifiedBy>
  <cp:revision>28</cp:revision>
  <cp:lastPrinted>2020-08-27T13:30:00Z</cp:lastPrinted>
  <dcterms:created xsi:type="dcterms:W3CDTF">2020-09-03T14:27:00Z</dcterms:created>
  <dcterms:modified xsi:type="dcterms:W3CDTF">2020-09-03T18:40:00Z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</Properties>
</file>